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957F" w14:textId="6724AA67" w:rsidR="00170077" w:rsidRDefault="007B011A" w:rsidP="00170077">
      <w:pPr>
        <w:pStyle w:val="BodyText"/>
        <w:rPr>
          <w:rFonts w:ascii="Times New Roman"/>
          <w:b w:val="0"/>
          <w:sz w:val="20"/>
        </w:rPr>
      </w:pPr>
      <w:r>
        <w:rPr>
          <w:noProof/>
        </w:rPr>
        <w:drawing>
          <wp:anchor distT="0" distB="0" distL="0" distR="0" simplePos="0" relativeHeight="251655680" behindDoc="0" locked="0" layoutInCell="1" allowOverlap="1" wp14:anchorId="47D9ED97" wp14:editId="60BFFFAD">
            <wp:simplePos x="0" y="0"/>
            <wp:positionH relativeFrom="page">
              <wp:posOffset>7063740</wp:posOffset>
            </wp:positionH>
            <wp:positionV relativeFrom="paragraph">
              <wp:posOffset>0</wp:posOffset>
            </wp:positionV>
            <wp:extent cx="2336165" cy="1203960"/>
            <wp:effectExtent l="0" t="0" r="0" b="0"/>
            <wp:wrapSquare wrapText="bothSides"/>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5" cstate="print"/>
                    <a:stretch>
                      <a:fillRect/>
                    </a:stretch>
                  </pic:blipFill>
                  <pic:spPr>
                    <a:xfrm>
                      <a:off x="0" y="0"/>
                      <a:ext cx="2336165" cy="12039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val="0"/>
          <w:noProof/>
          <w:sz w:val="20"/>
        </w:rPr>
        <w:drawing>
          <wp:anchor distT="0" distB="0" distL="114300" distR="114300" simplePos="0" relativeHeight="251656704" behindDoc="0" locked="0" layoutInCell="1" allowOverlap="1" wp14:anchorId="6AE3655C" wp14:editId="0F088938">
            <wp:simplePos x="0" y="0"/>
            <wp:positionH relativeFrom="margin">
              <wp:posOffset>144780</wp:posOffset>
            </wp:positionH>
            <wp:positionV relativeFrom="margin">
              <wp:posOffset>-281940</wp:posOffset>
            </wp:positionV>
            <wp:extent cx="2900045" cy="14859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0045" cy="1485900"/>
                    </a:xfrm>
                    <a:prstGeom prst="rect">
                      <a:avLst/>
                    </a:prstGeom>
                  </pic:spPr>
                </pic:pic>
              </a:graphicData>
            </a:graphic>
            <wp14:sizeRelH relativeFrom="margin">
              <wp14:pctWidth>0</wp14:pctWidth>
            </wp14:sizeRelH>
            <wp14:sizeRelV relativeFrom="margin">
              <wp14:pctHeight>0</wp14:pctHeight>
            </wp14:sizeRelV>
          </wp:anchor>
        </w:drawing>
      </w:r>
    </w:p>
    <w:p w14:paraId="299D08A5" w14:textId="77777777" w:rsidR="00170077" w:rsidRDefault="00170077" w:rsidP="00170077">
      <w:pPr>
        <w:pStyle w:val="BodyText"/>
        <w:rPr>
          <w:rFonts w:ascii="Times New Roman"/>
          <w:b w:val="0"/>
          <w:sz w:val="20"/>
        </w:rPr>
      </w:pPr>
    </w:p>
    <w:p w14:paraId="7E6BAF98" w14:textId="33312009" w:rsidR="008E794F" w:rsidRDefault="008E794F" w:rsidP="00170077">
      <w:pPr>
        <w:pStyle w:val="BodyText"/>
        <w:rPr>
          <w:rFonts w:ascii="Times New Roman"/>
          <w:b w:val="0"/>
          <w:sz w:val="20"/>
        </w:rPr>
      </w:pPr>
    </w:p>
    <w:p w14:paraId="093C7E52" w14:textId="77777777" w:rsidR="008E794F" w:rsidRDefault="008E794F">
      <w:pPr>
        <w:pStyle w:val="BodyText"/>
        <w:spacing w:before="5"/>
        <w:rPr>
          <w:rFonts w:ascii="Times New Roman"/>
          <w:b w:val="0"/>
          <w:sz w:val="20"/>
        </w:rPr>
      </w:pPr>
    </w:p>
    <w:p w14:paraId="7E1F697E" w14:textId="77777777" w:rsidR="00170077" w:rsidRDefault="00170077">
      <w:pPr>
        <w:pStyle w:val="BodyText"/>
        <w:spacing w:before="5"/>
        <w:rPr>
          <w:rFonts w:ascii="Times New Roman"/>
          <w:b w:val="0"/>
          <w:sz w:val="24"/>
        </w:rPr>
      </w:pPr>
    </w:p>
    <w:p w14:paraId="075CB9F7" w14:textId="0190A8E0" w:rsidR="00F94E83" w:rsidRDefault="00F94E83" w:rsidP="00F94E83">
      <w:pPr>
        <w:pStyle w:val="Title"/>
        <w:spacing w:line="240" w:lineRule="auto"/>
        <w:ind w:left="0"/>
        <w:rPr>
          <w:sz w:val="40"/>
          <w:szCs w:val="40"/>
        </w:rPr>
      </w:pPr>
    </w:p>
    <w:p w14:paraId="1F323021" w14:textId="77777777" w:rsidR="00F94E83" w:rsidRDefault="00F94E83" w:rsidP="00F94E83">
      <w:pPr>
        <w:pStyle w:val="Title"/>
        <w:spacing w:line="240" w:lineRule="auto"/>
        <w:ind w:left="0"/>
        <w:rPr>
          <w:sz w:val="40"/>
          <w:szCs w:val="40"/>
        </w:rPr>
      </w:pPr>
    </w:p>
    <w:p w14:paraId="48C9111E" w14:textId="77777777" w:rsidR="00C20ACC" w:rsidRDefault="00C20ACC" w:rsidP="00F94E83">
      <w:pPr>
        <w:pStyle w:val="Title"/>
        <w:spacing w:line="240" w:lineRule="auto"/>
        <w:ind w:left="0"/>
        <w:rPr>
          <w:sz w:val="40"/>
          <w:szCs w:val="40"/>
        </w:rPr>
      </w:pPr>
    </w:p>
    <w:p w14:paraId="24AC05F3" w14:textId="46FAA420" w:rsidR="00544761" w:rsidRPr="007B011A" w:rsidRDefault="00544761" w:rsidP="00CC0F0B">
      <w:pPr>
        <w:pStyle w:val="Title"/>
        <w:spacing w:line="240" w:lineRule="auto"/>
        <w:ind w:left="0"/>
        <w:rPr>
          <w:sz w:val="64"/>
          <w:szCs w:val="64"/>
        </w:rPr>
      </w:pPr>
      <w:r w:rsidRPr="007B011A">
        <w:rPr>
          <w:sz w:val="64"/>
          <w:szCs w:val="64"/>
        </w:rPr>
        <w:t>ECR Training Programme</w:t>
      </w:r>
    </w:p>
    <w:p w14:paraId="0EAEE46A" w14:textId="21C6322B" w:rsidR="007B011A" w:rsidRPr="007B011A" w:rsidRDefault="002C1FF7" w:rsidP="00CC0F0B">
      <w:pPr>
        <w:pStyle w:val="Title"/>
        <w:spacing w:after="240" w:line="240" w:lineRule="auto"/>
        <w:ind w:left="0"/>
        <w:rPr>
          <w:color w:val="0070C0"/>
          <w:sz w:val="64"/>
          <w:szCs w:val="64"/>
        </w:rPr>
      </w:pPr>
      <w:r w:rsidRPr="007B011A">
        <w:rPr>
          <w:color w:val="0070C0"/>
          <w:sz w:val="64"/>
          <w:szCs w:val="64"/>
        </w:rPr>
        <w:t>202</w:t>
      </w:r>
      <w:r w:rsidR="007B011A">
        <w:rPr>
          <w:color w:val="0070C0"/>
          <w:sz w:val="64"/>
          <w:szCs w:val="64"/>
        </w:rPr>
        <w:t>4</w:t>
      </w:r>
      <w:r w:rsidRPr="007B011A">
        <w:rPr>
          <w:color w:val="0070C0"/>
          <w:sz w:val="64"/>
          <w:szCs w:val="64"/>
        </w:rPr>
        <w:t>-202</w:t>
      </w:r>
      <w:r w:rsidR="007B011A">
        <w:rPr>
          <w:color w:val="0070C0"/>
          <w:sz w:val="64"/>
          <w:szCs w:val="64"/>
        </w:rPr>
        <w:t>5</w:t>
      </w:r>
    </w:p>
    <w:p w14:paraId="551484EE" w14:textId="433EE831" w:rsidR="007B011A" w:rsidRPr="00C04EB7" w:rsidRDefault="007B011A" w:rsidP="007B011A">
      <w:pPr>
        <w:pStyle w:val="BodyText"/>
        <w:ind w:left="450" w:right="310"/>
        <w:jc w:val="both"/>
        <w:rPr>
          <w:b w:val="0"/>
          <w:bCs w:val="0"/>
          <w:noProof/>
          <w:sz w:val="32"/>
          <w:szCs w:val="32"/>
          <w:lang w:val="en-GB"/>
        </w:rPr>
      </w:pPr>
      <w:r w:rsidRPr="00C04EB7">
        <w:rPr>
          <w:b w:val="0"/>
          <w:bCs w:val="0"/>
          <w:noProof/>
          <w:sz w:val="32"/>
          <w:szCs w:val="32"/>
          <w:lang w:val="en-GB"/>
        </w:rPr>
        <w:t xml:space="preserve">The Institute for Connected Communities (ICC) focuses on connected offline and online communities exploring contemporary issues including harms, cybercrime, safety, health, and wellbeing. </w:t>
      </w:r>
    </w:p>
    <w:p w14:paraId="68904780" w14:textId="10F800DE" w:rsidR="00CC0F0B" w:rsidRPr="00C04EB7" w:rsidRDefault="00C04EB7" w:rsidP="00CC0F0B">
      <w:pPr>
        <w:pStyle w:val="BodyText"/>
        <w:spacing w:before="240"/>
        <w:ind w:left="450" w:right="310"/>
        <w:jc w:val="center"/>
        <w:rPr>
          <w:b w:val="0"/>
          <w:bCs w:val="0"/>
          <w:noProof/>
          <w:sz w:val="32"/>
          <w:szCs w:val="32"/>
          <w:lang w:val="en-GB"/>
        </w:rPr>
      </w:pPr>
      <w:r w:rsidRPr="00C04EB7">
        <w:rPr>
          <w:sz w:val="32"/>
          <w:szCs w:val="32"/>
          <w:u w:val="single"/>
        </w:rPr>
        <w:t>Indicative s</w:t>
      </w:r>
      <w:r w:rsidR="00CC0F0B" w:rsidRPr="00C04EB7">
        <w:rPr>
          <w:sz w:val="32"/>
          <w:szCs w:val="32"/>
          <w:u w:val="single"/>
        </w:rPr>
        <w:t>chedule for Academic Year 2024-2025</w:t>
      </w:r>
    </w:p>
    <w:p w14:paraId="12ECC8AA" w14:textId="77777777" w:rsidR="00C20ACC" w:rsidRDefault="00C20ACC" w:rsidP="00DD5E53">
      <w:pPr>
        <w:pStyle w:val="BodyText"/>
        <w:ind w:right="490"/>
        <w:jc w:val="both"/>
        <w:rPr>
          <w:noProof/>
          <w:lang w:val="en-GB"/>
        </w:rPr>
      </w:pPr>
    </w:p>
    <w:tbl>
      <w:tblPr>
        <w:tblStyle w:val="TableGrid"/>
        <w:tblW w:w="5351" w:type="pct"/>
        <w:tblInd w:w="-464" w:type="dxa"/>
        <w:tblLook w:val="04A0" w:firstRow="1" w:lastRow="0" w:firstColumn="1" w:lastColumn="0" w:noHBand="0" w:noVBand="1"/>
      </w:tblPr>
      <w:tblGrid>
        <w:gridCol w:w="2302"/>
        <w:gridCol w:w="3828"/>
        <w:gridCol w:w="6235"/>
        <w:gridCol w:w="2543"/>
      </w:tblGrid>
      <w:tr w:rsidR="00544761" w:rsidRPr="007B011A" w14:paraId="12749759" w14:textId="77777777" w:rsidTr="00544761">
        <w:trPr>
          <w:cantSplit/>
          <w:trHeight w:val="454"/>
        </w:trPr>
        <w:tc>
          <w:tcPr>
            <w:tcW w:w="772" w:type="pct"/>
            <w:shd w:val="clear" w:color="auto" w:fill="0070C0"/>
            <w:vAlign w:val="center"/>
          </w:tcPr>
          <w:p w14:paraId="1FE2FB8F" w14:textId="1F292802" w:rsidR="00544761" w:rsidRPr="007B011A" w:rsidRDefault="00544761" w:rsidP="00544761">
            <w:pPr>
              <w:spacing w:after="120"/>
              <w:jc w:val="center"/>
              <w:rPr>
                <w:b/>
                <w:bCs/>
                <w:color w:val="FFFFFF" w:themeColor="background1"/>
                <w:sz w:val="26"/>
                <w:szCs w:val="26"/>
              </w:rPr>
            </w:pPr>
            <w:r w:rsidRPr="007B011A">
              <w:rPr>
                <w:b/>
                <w:bCs/>
                <w:sz w:val="26"/>
                <w:szCs w:val="26"/>
                <w:lang w:val="en-US"/>
              </w:rPr>
              <w:t>Indicative date and time</w:t>
            </w:r>
          </w:p>
        </w:tc>
        <w:tc>
          <w:tcPr>
            <w:tcW w:w="1284" w:type="pct"/>
            <w:shd w:val="clear" w:color="auto" w:fill="0070C0"/>
            <w:vAlign w:val="center"/>
          </w:tcPr>
          <w:p w14:paraId="61D96F38" w14:textId="1071EFE0" w:rsidR="00544761" w:rsidRPr="007B011A" w:rsidRDefault="00544761" w:rsidP="00544761">
            <w:pPr>
              <w:spacing w:after="120"/>
              <w:jc w:val="center"/>
              <w:rPr>
                <w:b/>
                <w:bCs/>
                <w:color w:val="FFFFFF" w:themeColor="background1"/>
                <w:sz w:val="26"/>
                <w:szCs w:val="26"/>
              </w:rPr>
            </w:pPr>
            <w:r w:rsidRPr="007B011A">
              <w:rPr>
                <w:b/>
                <w:bCs/>
                <w:sz w:val="26"/>
                <w:szCs w:val="26"/>
                <w:lang w:val="en-US"/>
              </w:rPr>
              <w:t>Session</w:t>
            </w:r>
          </w:p>
        </w:tc>
        <w:tc>
          <w:tcPr>
            <w:tcW w:w="2091" w:type="pct"/>
            <w:shd w:val="clear" w:color="auto" w:fill="0070C0"/>
            <w:vAlign w:val="center"/>
          </w:tcPr>
          <w:p w14:paraId="6D8CA21D" w14:textId="72E8B87A" w:rsidR="00544761" w:rsidRPr="007B011A" w:rsidRDefault="00544761" w:rsidP="00544761">
            <w:pPr>
              <w:spacing w:after="120"/>
              <w:jc w:val="center"/>
              <w:rPr>
                <w:b/>
                <w:bCs/>
                <w:color w:val="FFFFFF" w:themeColor="background1"/>
                <w:sz w:val="26"/>
                <w:szCs w:val="26"/>
              </w:rPr>
            </w:pPr>
            <w:r w:rsidRPr="007B011A">
              <w:rPr>
                <w:b/>
                <w:bCs/>
                <w:sz w:val="26"/>
                <w:szCs w:val="26"/>
                <w:lang w:val="en-US"/>
              </w:rPr>
              <w:t>Aim</w:t>
            </w:r>
            <w:r w:rsidR="007B011A" w:rsidRPr="007B011A">
              <w:rPr>
                <w:b/>
                <w:bCs/>
                <w:sz w:val="26"/>
                <w:szCs w:val="26"/>
                <w:lang w:val="en-US"/>
              </w:rPr>
              <w:t>s</w:t>
            </w:r>
          </w:p>
        </w:tc>
        <w:tc>
          <w:tcPr>
            <w:tcW w:w="853" w:type="pct"/>
            <w:shd w:val="clear" w:color="auto" w:fill="0070C0"/>
            <w:vAlign w:val="center"/>
          </w:tcPr>
          <w:p w14:paraId="47342C85" w14:textId="4F520E2D" w:rsidR="00544761" w:rsidRPr="007B011A" w:rsidRDefault="00544761" w:rsidP="00544761">
            <w:pPr>
              <w:spacing w:after="120"/>
              <w:jc w:val="center"/>
              <w:rPr>
                <w:b/>
                <w:bCs/>
                <w:color w:val="FFFFFF" w:themeColor="background1"/>
                <w:sz w:val="26"/>
                <w:szCs w:val="26"/>
              </w:rPr>
            </w:pPr>
            <w:r w:rsidRPr="007B011A">
              <w:rPr>
                <w:b/>
                <w:bCs/>
                <w:sz w:val="26"/>
                <w:szCs w:val="26"/>
                <w:lang w:val="en-US"/>
              </w:rPr>
              <w:t>Delivered by</w:t>
            </w:r>
          </w:p>
        </w:tc>
      </w:tr>
      <w:tr w:rsidR="00544761" w:rsidRPr="007B011A" w14:paraId="6144A411" w14:textId="77777777" w:rsidTr="00544761">
        <w:trPr>
          <w:cantSplit/>
          <w:trHeight w:val="1117"/>
        </w:trPr>
        <w:tc>
          <w:tcPr>
            <w:tcW w:w="772" w:type="pct"/>
          </w:tcPr>
          <w:p w14:paraId="277F795F" w14:textId="5579BECA" w:rsidR="00544761" w:rsidRPr="007B011A" w:rsidRDefault="00F81BA7" w:rsidP="00544761">
            <w:pPr>
              <w:rPr>
                <w:sz w:val="26"/>
                <w:szCs w:val="26"/>
                <w:lang w:val="en-US"/>
              </w:rPr>
            </w:pPr>
            <w:r>
              <w:rPr>
                <w:sz w:val="26"/>
                <w:szCs w:val="26"/>
                <w:lang w:val="en-US"/>
              </w:rPr>
              <w:t>23</w:t>
            </w:r>
            <w:r w:rsidRPr="00F81BA7">
              <w:rPr>
                <w:sz w:val="26"/>
                <w:szCs w:val="26"/>
                <w:vertAlign w:val="superscript"/>
                <w:lang w:val="en-US"/>
              </w:rPr>
              <w:t>rd</w:t>
            </w:r>
            <w:r>
              <w:rPr>
                <w:sz w:val="26"/>
                <w:szCs w:val="26"/>
                <w:lang w:val="en-US"/>
              </w:rPr>
              <w:t xml:space="preserve"> </w:t>
            </w:r>
            <w:r w:rsidR="00544761" w:rsidRPr="007B011A">
              <w:rPr>
                <w:sz w:val="26"/>
                <w:szCs w:val="26"/>
                <w:lang w:val="en-US"/>
              </w:rPr>
              <w:t>October 2024</w:t>
            </w:r>
          </w:p>
          <w:p w14:paraId="1DDEE077" w14:textId="19D4FE89" w:rsidR="00544761" w:rsidRPr="007B011A" w:rsidRDefault="00544761" w:rsidP="00544761">
            <w:pPr>
              <w:spacing w:after="120"/>
              <w:rPr>
                <w:sz w:val="26"/>
                <w:szCs w:val="26"/>
              </w:rPr>
            </w:pPr>
            <w:r w:rsidRPr="007B011A">
              <w:rPr>
                <w:sz w:val="26"/>
                <w:szCs w:val="26"/>
                <w:lang w:val="en-US"/>
              </w:rPr>
              <w:t>1</w:t>
            </w:r>
            <w:r w:rsidR="00F81BA7">
              <w:rPr>
                <w:sz w:val="26"/>
                <w:szCs w:val="26"/>
                <w:lang w:val="en-US"/>
              </w:rPr>
              <w:t>1</w:t>
            </w:r>
            <w:r w:rsidRPr="007B011A">
              <w:rPr>
                <w:sz w:val="26"/>
                <w:szCs w:val="26"/>
                <w:lang w:val="en-US"/>
              </w:rPr>
              <w:t>-1</w:t>
            </w:r>
            <w:r w:rsidR="00F81BA7">
              <w:rPr>
                <w:sz w:val="26"/>
                <w:szCs w:val="26"/>
                <w:lang w:val="en-US"/>
              </w:rPr>
              <w:t>2</w:t>
            </w:r>
            <w:r w:rsidRPr="007B011A">
              <w:rPr>
                <w:sz w:val="26"/>
                <w:szCs w:val="26"/>
                <w:lang w:val="en-US"/>
              </w:rPr>
              <w:t xml:space="preserve">.30pm </w:t>
            </w:r>
          </w:p>
        </w:tc>
        <w:tc>
          <w:tcPr>
            <w:tcW w:w="1284" w:type="pct"/>
          </w:tcPr>
          <w:p w14:paraId="0A55F260" w14:textId="638C2525" w:rsidR="00544761" w:rsidRPr="007B011A" w:rsidRDefault="00544761" w:rsidP="00544761">
            <w:pPr>
              <w:spacing w:after="120"/>
              <w:rPr>
                <w:sz w:val="26"/>
                <w:szCs w:val="26"/>
              </w:rPr>
            </w:pPr>
            <w:r w:rsidRPr="007B011A">
              <w:rPr>
                <w:sz w:val="26"/>
                <w:szCs w:val="26"/>
                <w:lang w:val="en-US"/>
              </w:rPr>
              <w:t>Communication and presentation skills</w:t>
            </w:r>
          </w:p>
        </w:tc>
        <w:tc>
          <w:tcPr>
            <w:tcW w:w="2091" w:type="pct"/>
          </w:tcPr>
          <w:p w14:paraId="1E4008BF" w14:textId="6B378A9F" w:rsidR="00544761" w:rsidRPr="007B011A" w:rsidRDefault="00544761" w:rsidP="00544761">
            <w:pPr>
              <w:spacing w:after="120"/>
              <w:rPr>
                <w:sz w:val="26"/>
                <w:szCs w:val="26"/>
              </w:rPr>
            </w:pPr>
            <w:r w:rsidRPr="007B011A">
              <w:rPr>
                <w:sz w:val="26"/>
                <w:szCs w:val="26"/>
                <w:lang w:val="en-US"/>
              </w:rPr>
              <w:t>Creating and delivering engaging presentations for expert and non-expert audiences. How to communicate with non-expert audiences through different channels</w:t>
            </w:r>
          </w:p>
        </w:tc>
        <w:tc>
          <w:tcPr>
            <w:tcW w:w="853" w:type="pct"/>
          </w:tcPr>
          <w:p w14:paraId="199C3FE3" w14:textId="131D052B" w:rsidR="00544761" w:rsidRPr="007B011A" w:rsidRDefault="00544761" w:rsidP="00544761">
            <w:pPr>
              <w:spacing w:after="120"/>
              <w:rPr>
                <w:sz w:val="26"/>
                <w:szCs w:val="26"/>
              </w:rPr>
            </w:pPr>
            <w:r w:rsidRPr="007B011A">
              <w:rPr>
                <w:sz w:val="26"/>
                <w:szCs w:val="26"/>
                <w:lang w:val="en-US"/>
              </w:rPr>
              <w:t xml:space="preserve">Rasheed </w:t>
            </w:r>
            <w:proofErr w:type="spellStart"/>
            <w:r w:rsidRPr="007B011A">
              <w:rPr>
                <w:sz w:val="26"/>
                <w:szCs w:val="26"/>
                <w:lang w:val="en-US"/>
              </w:rPr>
              <w:t>Ogunlaru</w:t>
            </w:r>
            <w:proofErr w:type="spellEnd"/>
          </w:p>
        </w:tc>
      </w:tr>
      <w:tr w:rsidR="00544761" w:rsidRPr="007B011A" w14:paraId="751B65DE" w14:textId="77777777" w:rsidTr="00544761">
        <w:trPr>
          <w:cantSplit/>
          <w:trHeight w:val="454"/>
        </w:trPr>
        <w:tc>
          <w:tcPr>
            <w:tcW w:w="772" w:type="pct"/>
          </w:tcPr>
          <w:p w14:paraId="74CE6E4A" w14:textId="367B19C5" w:rsidR="00544761" w:rsidRPr="007B011A" w:rsidRDefault="00544761" w:rsidP="00544761">
            <w:pPr>
              <w:rPr>
                <w:sz w:val="26"/>
                <w:szCs w:val="26"/>
                <w:lang w:val="en-US"/>
              </w:rPr>
            </w:pPr>
            <w:r w:rsidRPr="007B011A">
              <w:rPr>
                <w:sz w:val="26"/>
                <w:szCs w:val="26"/>
                <w:lang w:val="en-US"/>
              </w:rPr>
              <w:t>2</w:t>
            </w:r>
            <w:r w:rsidR="00EC0840">
              <w:rPr>
                <w:sz w:val="26"/>
                <w:szCs w:val="26"/>
                <w:lang w:val="en-US"/>
              </w:rPr>
              <w:t>7</w:t>
            </w:r>
            <w:r w:rsidRPr="007B011A">
              <w:rPr>
                <w:sz w:val="26"/>
                <w:szCs w:val="26"/>
                <w:vertAlign w:val="superscript"/>
                <w:lang w:val="en-US"/>
              </w:rPr>
              <w:t>th</w:t>
            </w:r>
            <w:r w:rsidRPr="007B011A">
              <w:rPr>
                <w:sz w:val="26"/>
                <w:szCs w:val="26"/>
                <w:lang w:val="en-US"/>
              </w:rPr>
              <w:t xml:space="preserve"> November 2024</w:t>
            </w:r>
          </w:p>
          <w:p w14:paraId="21570781" w14:textId="2E6A0E10" w:rsidR="00544761" w:rsidRPr="007B011A" w:rsidRDefault="00544761" w:rsidP="00544761">
            <w:pPr>
              <w:spacing w:after="120"/>
              <w:rPr>
                <w:b/>
                <w:bCs/>
                <w:sz w:val="26"/>
                <w:szCs w:val="26"/>
              </w:rPr>
            </w:pPr>
            <w:r w:rsidRPr="007B011A">
              <w:rPr>
                <w:sz w:val="26"/>
                <w:szCs w:val="26"/>
                <w:lang w:val="en-US"/>
              </w:rPr>
              <w:t>12-1.30pm</w:t>
            </w:r>
          </w:p>
        </w:tc>
        <w:tc>
          <w:tcPr>
            <w:tcW w:w="1284" w:type="pct"/>
          </w:tcPr>
          <w:p w14:paraId="22C7A5D9" w14:textId="5DBF71B9" w:rsidR="00544761" w:rsidRPr="007B011A" w:rsidRDefault="00544761" w:rsidP="00544761">
            <w:pPr>
              <w:spacing w:after="120"/>
              <w:rPr>
                <w:sz w:val="26"/>
                <w:szCs w:val="26"/>
              </w:rPr>
            </w:pPr>
            <w:proofErr w:type="spellStart"/>
            <w:r w:rsidRPr="007B011A">
              <w:rPr>
                <w:sz w:val="26"/>
                <w:szCs w:val="26"/>
                <w:lang w:val="en-US"/>
              </w:rPr>
              <w:t>Utilising</w:t>
            </w:r>
            <w:proofErr w:type="spellEnd"/>
            <w:r w:rsidRPr="007B011A">
              <w:rPr>
                <w:sz w:val="26"/>
                <w:szCs w:val="26"/>
                <w:lang w:val="en-US"/>
              </w:rPr>
              <w:t xml:space="preserve"> UEL social media channels to create impact</w:t>
            </w:r>
          </w:p>
        </w:tc>
        <w:tc>
          <w:tcPr>
            <w:tcW w:w="2091" w:type="pct"/>
          </w:tcPr>
          <w:p w14:paraId="60324255" w14:textId="4417C775" w:rsidR="00544761" w:rsidRPr="007B011A" w:rsidRDefault="00544761" w:rsidP="00544761">
            <w:pPr>
              <w:spacing w:after="120"/>
              <w:rPr>
                <w:sz w:val="26"/>
                <w:szCs w:val="26"/>
              </w:rPr>
            </w:pPr>
            <w:r w:rsidRPr="007B011A">
              <w:rPr>
                <w:sz w:val="26"/>
                <w:szCs w:val="26"/>
                <w:lang w:val="en-US"/>
              </w:rPr>
              <w:t xml:space="preserve">What facilities are available at UEL, what are the processes, what systems are supported at UEL to use social media to create impact? How to create the right social media messages for </w:t>
            </w:r>
            <w:proofErr w:type="spellStart"/>
            <w:r w:rsidRPr="007B011A">
              <w:rPr>
                <w:sz w:val="26"/>
                <w:szCs w:val="26"/>
                <w:lang w:val="en-US"/>
              </w:rPr>
              <w:t>maximising</w:t>
            </w:r>
            <w:proofErr w:type="spellEnd"/>
            <w:r w:rsidRPr="007B011A">
              <w:rPr>
                <w:sz w:val="26"/>
                <w:szCs w:val="26"/>
                <w:lang w:val="en-US"/>
              </w:rPr>
              <w:t xml:space="preserve"> reach and impact?</w:t>
            </w:r>
          </w:p>
        </w:tc>
        <w:tc>
          <w:tcPr>
            <w:tcW w:w="853" w:type="pct"/>
          </w:tcPr>
          <w:p w14:paraId="0327A22E" w14:textId="734BF166" w:rsidR="00544761" w:rsidRPr="007B011A" w:rsidRDefault="00544761" w:rsidP="00544761">
            <w:pPr>
              <w:spacing w:after="120"/>
              <w:rPr>
                <w:sz w:val="26"/>
                <w:szCs w:val="26"/>
              </w:rPr>
            </w:pPr>
            <w:r w:rsidRPr="007B011A">
              <w:rPr>
                <w:sz w:val="26"/>
                <w:szCs w:val="26"/>
                <w:lang w:val="en-US"/>
              </w:rPr>
              <w:t>Emily Enock</w:t>
            </w:r>
          </w:p>
        </w:tc>
      </w:tr>
      <w:tr w:rsidR="00544761" w:rsidRPr="007B011A" w14:paraId="632F6B50" w14:textId="77777777" w:rsidTr="00544761">
        <w:trPr>
          <w:cantSplit/>
          <w:trHeight w:val="1117"/>
        </w:trPr>
        <w:tc>
          <w:tcPr>
            <w:tcW w:w="772" w:type="pct"/>
          </w:tcPr>
          <w:p w14:paraId="0D253AB6" w14:textId="77777777" w:rsidR="00544761" w:rsidRPr="007B011A" w:rsidRDefault="00544761" w:rsidP="00544761">
            <w:pPr>
              <w:rPr>
                <w:sz w:val="26"/>
                <w:szCs w:val="26"/>
                <w:lang w:val="en-US"/>
              </w:rPr>
            </w:pPr>
            <w:r w:rsidRPr="007B011A">
              <w:rPr>
                <w:sz w:val="26"/>
                <w:szCs w:val="26"/>
                <w:lang w:val="en-US"/>
              </w:rPr>
              <w:t>18</w:t>
            </w:r>
            <w:r w:rsidRPr="007B011A">
              <w:rPr>
                <w:sz w:val="26"/>
                <w:szCs w:val="26"/>
                <w:vertAlign w:val="superscript"/>
                <w:lang w:val="en-US"/>
              </w:rPr>
              <w:t>th</w:t>
            </w:r>
            <w:r w:rsidRPr="007B011A">
              <w:rPr>
                <w:sz w:val="26"/>
                <w:szCs w:val="26"/>
                <w:lang w:val="en-US"/>
              </w:rPr>
              <w:t xml:space="preserve"> December 2024</w:t>
            </w:r>
          </w:p>
          <w:p w14:paraId="371FE571" w14:textId="684A0A78" w:rsidR="00544761" w:rsidRPr="007B011A" w:rsidRDefault="00544761" w:rsidP="00544761">
            <w:pPr>
              <w:spacing w:after="120"/>
              <w:rPr>
                <w:b/>
                <w:bCs/>
                <w:sz w:val="26"/>
                <w:szCs w:val="26"/>
              </w:rPr>
            </w:pPr>
            <w:r w:rsidRPr="007B011A">
              <w:rPr>
                <w:sz w:val="26"/>
                <w:szCs w:val="26"/>
                <w:lang w:val="en-US"/>
              </w:rPr>
              <w:t>12-1.30pm</w:t>
            </w:r>
          </w:p>
        </w:tc>
        <w:tc>
          <w:tcPr>
            <w:tcW w:w="1284" w:type="pct"/>
          </w:tcPr>
          <w:p w14:paraId="5DB1FA30" w14:textId="0ACEAADC" w:rsidR="00544761" w:rsidRPr="007B011A" w:rsidRDefault="00544761" w:rsidP="00544761">
            <w:pPr>
              <w:spacing w:after="120"/>
              <w:rPr>
                <w:sz w:val="26"/>
                <w:szCs w:val="26"/>
              </w:rPr>
            </w:pPr>
            <w:r w:rsidRPr="007B011A">
              <w:rPr>
                <w:sz w:val="26"/>
                <w:szCs w:val="26"/>
                <w:lang w:val="en-US"/>
              </w:rPr>
              <w:t>Doing consultancy/contract research at UEL- What is the process?</w:t>
            </w:r>
          </w:p>
        </w:tc>
        <w:tc>
          <w:tcPr>
            <w:tcW w:w="2091" w:type="pct"/>
          </w:tcPr>
          <w:p w14:paraId="0FD7F0FC" w14:textId="2B0B0F00" w:rsidR="00544761" w:rsidRPr="007B011A" w:rsidRDefault="00544761" w:rsidP="00544761">
            <w:pPr>
              <w:spacing w:after="120"/>
              <w:rPr>
                <w:sz w:val="26"/>
                <w:szCs w:val="26"/>
              </w:rPr>
            </w:pPr>
            <w:r w:rsidRPr="007B011A">
              <w:rPr>
                <w:sz w:val="26"/>
                <w:szCs w:val="26"/>
                <w:lang w:val="en-US"/>
              </w:rPr>
              <w:t>Introduction to consultancy/contract research at UEL: including application processes, planning. Introduction to the Evaluation Unit.</w:t>
            </w:r>
          </w:p>
        </w:tc>
        <w:tc>
          <w:tcPr>
            <w:tcW w:w="853" w:type="pct"/>
          </w:tcPr>
          <w:p w14:paraId="6A44BC73" w14:textId="7AD3082D" w:rsidR="00544761" w:rsidRPr="007B011A" w:rsidRDefault="00544761" w:rsidP="00544761">
            <w:pPr>
              <w:spacing w:after="120"/>
              <w:rPr>
                <w:sz w:val="26"/>
                <w:szCs w:val="26"/>
              </w:rPr>
            </w:pPr>
            <w:r w:rsidRPr="007B011A">
              <w:rPr>
                <w:sz w:val="26"/>
                <w:szCs w:val="26"/>
                <w:lang w:val="en-US"/>
              </w:rPr>
              <w:t>Dr Darren Sharpe</w:t>
            </w:r>
          </w:p>
        </w:tc>
      </w:tr>
      <w:tr w:rsidR="00544761" w:rsidRPr="007B011A" w14:paraId="33039961" w14:textId="77777777" w:rsidTr="00544761">
        <w:trPr>
          <w:cantSplit/>
          <w:trHeight w:val="1117"/>
        </w:trPr>
        <w:tc>
          <w:tcPr>
            <w:tcW w:w="772" w:type="pct"/>
          </w:tcPr>
          <w:p w14:paraId="11975DF1" w14:textId="77777777" w:rsidR="00544761" w:rsidRPr="007B011A" w:rsidRDefault="00544761" w:rsidP="00544761">
            <w:pPr>
              <w:rPr>
                <w:sz w:val="26"/>
                <w:szCs w:val="26"/>
                <w:lang w:val="en-US"/>
              </w:rPr>
            </w:pPr>
            <w:r w:rsidRPr="007B011A">
              <w:rPr>
                <w:sz w:val="26"/>
                <w:szCs w:val="26"/>
                <w:lang w:val="en-US"/>
              </w:rPr>
              <w:t>15</w:t>
            </w:r>
            <w:r w:rsidRPr="007B011A">
              <w:rPr>
                <w:sz w:val="26"/>
                <w:szCs w:val="26"/>
                <w:vertAlign w:val="superscript"/>
                <w:lang w:val="en-US"/>
              </w:rPr>
              <w:t>th</w:t>
            </w:r>
            <w:r w:rsidRPr="007B011A">
              <w:rPr>
                <w:sz w:val="26"/>
                <w:szCs w:val="26"/>
                <w:lang w:val="en-US"/>
              </w:rPr>
              <w:t xml:space="preserve"> January 2025</w:t>
            </w:r>
          </w:p>
          <w:p w14:paraId="2D34C8B6" w14:textId="76FBA2F1" w:rsidR="00544761" w:rsidRPr="007B011A" w:rsidRDefault="00544761" w:rsidP="00544761">
            <w:pPr>
              <w:spacing w:after="120"/>
              <w:rPr>
                <w:sz w:val="26"/>
                <w:szCs w:val="26"/>
              </w:rPr>
            </w:pPr>
            <w:r w:rsidRPr="007B011A">
              <w:rPr>
                <w:sz w:val="26"/>
                <w:szCs w:val="26"/>
                <w:lang w:val="en-US"/>
              </w:rPr>
              <w:t>12-1.30pm</w:t>
            </w:r>
          </w:p>
        </w:tc>
        <w:tc>
          <w:tcPr>
            <w:tcW w:w="1284" w:type="pct"/>
          </w:tcPr>
          <w:p w14:paraId="5D04B021" w14:textId="530BE06F" w:rsidR="00544761" w:rsidRPr="007B011A" w:rsidRDefault="00544761" w:rsidP="00544761">
            <w:pPr>
              <w:spacing w:after="120"/>
              <w:rPr>
                <w:sz w:val="26"/>
                <w:szCs w:val="26"/>
              </w:rPr>
            </w:pPr>
            <w:r w:rsidRPr="007B011A">
              <w:rPr>
                <w:sz w:val="26"/>
                <w:szCs w:val="26"/>
                <w:lang w:val="en-US"/>
              </w:rPr>
              <w:t>Building research partnerships and collaborations</w:t>
            </w:r>
          </w:p>
        </w:tc>
        <w:tc>
          <w:tcPr>
            <w:tcW w:w="2091" w:type="pct"/>
          </w:tcPr>
          <w:p w14:paraId="17E5BCCE" w14:textId="6E206636" w:rsidR="00544761" w:rsidRPr="007B011A" w:rsidRDefault="00544761" w:rsidP="00544761">
            <w:pPr>
              <w:spacing w:after="120"/>
              <w:rPr>
                <w:sz w:val="26"/>
                <w:szCs w:val="26"/>
              </w:rPr>
            </w:pPr>
            <w:r w:rsidRPr="007B011A">
              <w:rPr>
                <w:sz w:val="26"/>
                <w:szCs w:val="26"/>
                <w:lang w:val="en-US"/>
              </w:rPr>
              <w:t>To provide a guide on building and establishing research partnerships and collaborations with commissioners, stakeholders, other researchers and research institutes.</w:t>
            </w:r>
          </w:p>
        </w:tc>
        <w:tc>
          <w:tcPr>
            <w:tcW w:w="853" w:type="pct"/>
          </w:tcPr>
          <w:p w14:paraId="6388E401" w14:textId="0E73ECD5" w:rsidR="00544761" w:rsidRPr="007B011A" w:rsidRDefault="00544761" w:rsidP="00544761">
            <w:pPr>
              <w:spacing w:after="120"/>
              <w:rPr>
                <w:sz w:val="26"/>
                <w:szCs w:val="26"/>
              </w:rPr>
            </w:pPr>
            <w:r w:rsidRPr="007B011A">
              <w:rPr>
                <w:sz w:val="26"/>
                <w:szCs w:val="26"/>
                <w:lang w:val="en-US"/>
              </w:rPr>
              <w:t>Prof Julia Davidson</w:t>
            </w:r>
          </w:p>
        </w:tc>
      </w:tr>
      <w:tr w:rsidR="00544761" w:rsidRPr="007B011A" w14:paraId="38192D3E" w14:textId="77777777" w:rsidTr="00544761">
        <w:trPr>
          <w:cantSplit/>
          <w:trHeight w:val="454"/>
        </w:trPr>
        <w:tc>
          <w:tcPr>
            <w:tcW w:w="772" w:type="pct"/>
          </w:tcPr>
          <w:p w14:paraId="1C7ED094" w14:textId="77777777" w:rsidR="00544761" w:rsidRPr="007B011A" w:rsidRDefault="00544761" w:rsidP="00544761">
            <w:pPr>
              <w:rPr>
                <w:sz w:val="26"/>
                <w:szCs w:val="26"/>
                <w:lang w:val="en-US"/>
              </w:rPr>
            </w:pPr>
            <w:r w:rsidRPr="007B011A">
              <w:rPr>
                <w:sz w:val="26"/>
                <w:szCs w:val="26"/>
                <w:lang w:val="en-US"/>
              </w:rPr>
              <w:t>19</w:t>
            </w:r>
            <w:r w:rsidRPr="007B011A">
              <w:rPr>
                <w:sz w:val="26"/>
                <w:szCs w:val="26"/>
                <w:vertAlign w:val="superscript"/>
                <w:lang w:val="en-US"/>
              </w:rPr>
              <w:t>th</w:t>
            </w:r>
            <w:r w:rsidRPr="007B011A">
              <w:rPr>
                <w:sz w:val="26"/>
                <w:szCs w:val="26"/>
                <w:lang w:val="en-US"/>
              </w:rPr>
              <w:t xml:space="preserve"> February 2025</w:t>
            </w:r>
          </w:p>
          <w:p w14:paraId="2C1FE293" w14:textId="481475E3" w:rsidR="00544761" w:rsidRPr="007B011A" w:rsidRDefault="00544761" w:rsidP="00544761">
            <w:pPr>
              <w:spacing w:after="120"/>
              <w:rPr>
                <w:b/>
                <w:bCs/>
                <w:sz w:val="26"/>
                <w:szCs w:val="26"/>
              </w:rPr>
            </w:pPr>
            <w:r w:rsidRPr="007B011A">
              <w:rPr>
                <w:sz w:val="26"/>
                <w:szCs w:val="26"/>
                <w:lang w:val="en-US"/>
              </w:rPr>
              <w:t>12-1.30pm</w:t>
            </w:r>
          </w:p>
        </w:tc>
        <w:tc>
          <w:tcPr>
            <w:tcW w:w="1284" w:type="pct"/>
          </w:tcPr>
          <w:p w14:paraId="5E43EE0D" w14:textId="6DCBE1C6" w:rsidR="00544761" w:rsidRPr="007B011A" w:rsidRDefault="00544761" w:rsidP="00544761">
            <w:pPr>
              <w:spacing w:after="120"/>
              <w:rPr>
                <w:sz w:val="26"/>
                <w:szCs w:val="26"/>
              </w:rPr>
            </w:pPr>
            <w:r w:rsidRPr="007B011A">
              <w:rPr>
                <w:sz w:val="26"/>
                <w:szCs w:val="26"/>
                <w:lang w:val="en-US"/>
              </w:rPr>
              <w:t>Demystifying research bid writing</w:t>
            </w:r>
          </w:p>
        </w:tc>
        <w:tc>
          <w:tcPr>
            <w:tcW w:w="2091" w:type="pct"/>
          </w:tcPr>
          <w:p w14:paraId="6F1061F4" w14:textId="6448DD57" w:rsidR="00544761" w:rsidRPr="007B011A" w:rsidRDefault="00544761" w:rsidP="00544761">
            <w:pPr>
              <w:spacing w:after="120"/>
              <w:rPr>
                <w:sz w:val="26"/>
                <w:szCs w:val="26"/>
              </w:rPr>
            </w:pPr>
            <w:r w:rsidRPr="007B011A">
              <w:rPr>
                <w:sz w:val="26"/>
                <w:szCs w:val="26"/>
                <w:lang w:val="en-US"/>
              </w:rPr>
              <w:t>How to write successful research bids/ grant applications</w:t>
            </w:r>
          </w:p>
        </w:tc>
        <w:tc>
          <w:tcPr>
            <w:tcW w:w="853" w:type="pct"/>
          </w:tcPr>
          <w:p w14:paraId="628AC9CC" w14:textId="3A9DD4A9" w:rsidR="00544761" w:rsidRPr="007B011A" w:rsidRDefault="00544761" w:rsidP="00544761">
            <w:pPr>
              <w:spacing w:after="120"/>
              <w:rPr>
                <w:sz w:val="26"/>
                <w:szCs w:val="26"/>
              </w:rPr>
            </w:pPr>
            <w:proofErr w:type="spellStart"/>
            <w:r w:rsidRPr="007B011A">
              <w:rPr>
                <w:sz w:val="26"/>
                <w:szCs w:val="26"/>
                <w:lang w:val="en-US"/>
              </w:rPr>
              <w:t>Grantcraft</w:t>
            </w:r>
            <w:proofErr w:type="spellEnd"/>
          </w:p>
        </w:tc>
      </w:tr>
      <w:tr w:rsidR="00544761" w:rsidRPr="007B011A" w14:paraId="5AB46490" w14:textId="77777777" w:rsidTr="00544761">
        <w:trPr>
          <w:cantSplit/>
          <w:trHeight w:val="785"/>
        </w:trPr>
        <w:tc>
          <w:tcPr>
            <w:tcW w:w="772" w:type="pct"/>
          </w:tcPr>
          <w:p w14:paraId="56C1A29E" w14:textId="77777777" w:rsidR="00544761" w:rsidRPr="007B011A" w:rsidRDefault="00544761" w:rsidP="00544761">
            <w:pPr>
              <w:rPr>
                <w:sz w:val="26"/>
                <w:szCs w:val="26"/>
                <w:lang w:val="en-US"/>
              </w:rPr>
            </w:pPr>
            <w:r w:rsidRPr="007B011A">
              <w:rPr>
                <w:sz w:val="26"/>
                <w:szCs w:val="26"/>
                <w:lang w:val="en-US"/>
              </w:rPr>
              <w:t>19</w:t>
            </w:r>
            <w:r w:rsidRPr="007B011A">
              <w:rPr>
                <w:sz w:val="26"/>
                <w:szCs w:val="26"/>
                <w:vertAlign w:val="superscript"/>
                <w:lang w:val="en-US"/>
              </w:rPr>
              <w:t>th</w:t>
            </w:r>
            <w:r w:rsidRPr="007B011A">
              <w:rPr>
                <w:sz w:val="26"/>
                <w:szCs w:val="26"/>
                <w:lang w:val="en-US"/>
              </w:rPr>
              <w:t xml:space="preserve"> March 2025</w:t>
            </w:r>
          </w:p>
          <w:p w14:paraId="38E97FC3" w14:textId="5D887B3C" w:rsidR="00544761" w:rsidRPr="007B011A" w:rsidRDefault="00544761" w:rsidP="00544761">
            <w:pPr>
              <w:spacing w:after="120"/>
              <w:rPr>
                <w:sz w:val="26"/>
                <w:szCs w:val="26"/>
              </w:rPr>
            </w:pPr>
            <w:r w:rsidRPr="007B011A">
              <w:rPr>
                <w:sz w:val="26"/>
                <w:szCs w:val="26"/>
                <w:lang w:val="en-US"/>
              </w:rPr>
              <w:t>12-1.30pm</w:t>
            </w:r>
          </w:p>
        </w:tc>
        <w:tc>
          <w:tcPr>
            <w:tcW w:w="1284" w:type="pct"/>
          </w:tcPr>
          <w:p w14:paraId="70D731C8" w14:textId="2CA776D4" w:rsidR="00544761" w:rsidRPr="007B011A" w:rsidRDefault="00544761" w:rsidP="00544761">
            <w:pPr>
              <w:spacing w:after="120"/>
              <w:rPr>
                <w:sz w:val="26"/>
                <w:szCs w:val="26"/>
              </w:rPr>
            </w:pPr>
            <w:r w:rsidRPr="007B011A">
              <w:rPr>
                <w:sz w:val="26"/>
                <w:szCs w:val="26"/>
                <w:lang w:val="en-US"/>
              </w:rPr>
              <w:t>Grant process at UEL</w:t>
            </w:r>
          </w:p>
        </w:tc>
        <w:tc>
          <w:tcPr>
            <w:tcW w:w="2091" w:type="pct"/>
          </w:tcPr>
          <w:p w14:paraId="0A9DAC9C" w14:textId="55EF298A" w:rsidR="00544761" w:rsidRPr="007B011A" w:rsidRDefault="00544761" w:rsidP="00544761">
            <w:pPr>
              <w:spacing w:after="120"/>
              <w:rPr>
                <w:sz w:val="26"/>
                <w:szCs w:val="26"/>
              </w:rPr>
            </w:pPr>
            <w:r w:rsidRPr="007B011A">
              <w:rPr>
                <w:sz w:val="26"/>
                <w:szCs w:val="26"/>
                <w:lang w:val="en-US"/>
              </w:rPr>
              <w:t>To understand grant processes and systems at UEL, including processes and systems for applying for grants, budgeting for grants and available support.</w:t>
            </w:r>
          </w:p>
        </w:tc>
        <w:tc>
          <w:tcPr>
            <w:tcW w:w="853" w:type="pct"/>
          </w:tcPr>
          <w:p w14:paraId="5DF3A62D" w14:textId="12F78CCD" w:rsidR="00544761" w:rsidRPr="007B011A" w:rsidRDefault="00544761" w:rsidP="00544761">
            <w:pPr>
              <w:spacing w:after="120"/>
              <w:rPr>
                <w:sz w:val="26"/>
                <w:szCs w:val="26"/>
              </w:rPr>
            </w:pPr>
            <w:r w:rsidRPr="007B011A">
              <w:rPr>
                <w:sz w:val="26"/>
                <w:szCs w:val="26"/>
                <w:lang w:val="en-US"/>
              </w:rPr>
              <w:t>Dr Paul Reay</w:t>
            </w:r>
          </w:p>
        </w:tc>
      </w:tr>
      <w:tr w:rsidR="00544761" w:rsidRPr="007B011A" w14:paraId="37C144C1" w14:textId="77777777" w:rsidTr="00544761">
        <w:trPr>
          <w:cantSplit/>
          <w:trHeight w:val="1117"/>
        </w:trPr>
        <w:tc>
          <w:tcPr>
            <w:tcW w:w="772" w:type="pct"/>
          </w:tcPr>
          <w:p w14:paraId="09FBDFA3" w14:textId="77777777" w:rsidR="00544761" w:rsidRPr="007B011A" w:rsidRDefault="00544761" w:rsidP="00544761">
            <w:pPr>
              <w:rPr>
                <w:sz w:val="26"/>
                <w:szCs w:val="26"/>
                <w:lang w:val="en-US"/>
              </w:rPr>
            </w:pPr>
            <w:r w:rsidRPr="007B011A">
              <w:rPr>
                <w:sz w:val="26"/>
                <w:szCs w:val="26"/>
                <w:lang w:val="en-US"/>
              </w:rPr>
              <w:t>16</w:t>
            </w:r>
            <w:r w:rsidRPr="007B011A">
              <w:rPr>
                <w:sz w:val="26"/>
                <w:szCs w:val="26"/>
                <w:vertAlign w:val="superscript"/>
                <w:lang w:val="en-US"/>
              </w:rPr>
              <w:t>th</w:t>
            </w:r>
            <w:r w:rsidRPr="007B011A">
              <w:rPr>
                <w:sz w:val="26"/>
                <w:szCs w:val="26"/>
                <w:lang w:val="en-US"/>
              </w:rPr>
              <w:t xml:space="preserve"> April 2025</w:t>
            </w:r>
          </w:p>
          <w:p w14:paraId="5582D7F4" w14:textId="1EBF306E" w:rsidR="00544761" w:rsidRPr="007B011A" w:rsidRDefault="00544761" w:rsidP="00544761">
            <w:pPr>
              <w:spacing w:after="120"/>
              <w:rPr>
                <w:sz w:val="26"/>
                <w:szCs w:val="26"/>
              </w:rPr>
            </w:pPr>
            <w:r w:rsidRPr="007B011A">
              <w:rPr>
                <w:sz w:val="26"/>
                <w:szCs w:val="26"/>
                <w:lang w:val="en-US"/>
              </w:rPr>
              <w:t>12-1.30pm</w:t>
            </w:r>
          </w:p>
        </w:tc>
        <w:tc>
          <w:tcPr>
            <w:tcW w:w="1284" w:type="pct"/>
          </w:tcPr>
          <w:p w14:paraId="17A39E35" w14:textId="68129142" w:rsidR="00544761" w:rsidRPr="007B011A" w:rsidRDefault="00544761" w:rsidP="00544761">
            <w:pPr>
              <w:spacing w:after="120"/>
              <w:rPr>
                <w:sz w:val="26"/>
                <w:szCs w:val="26"/>
              </w:rPr>
            </w:pPr>
            <w:r w:rsidRPr="007B011A">
              <w:rPr>
                <w:sz w:val="26"/>
                <w:szCs w:val="26"/>
                <w:lang w:val="en-US"/>
              </w:rPr>
              <w:t>Setting up and managing research budgets</w:t>
            </w:r>
          </w:p>
        </w:tc>
        <w:tc>
          <w:tcPr>
            <w:tcW w:w="2091" w:type="pct"/>
          </w:tcPr>
          <w:p w14:paraId="7AF926AD" w14:textId="6F2BADEE" w:rsidR="00544761" w:rsidRPr="007B011A" w:rsidRDefault="00544761" w:rsidP="00544761">
            <w:pPr>
              <w:spacing w:after="120"/>
              <w:rPr>
                <w:sz w:val="26"/>
                <w:szCs w:val="26"/>
              </w:rPr>
            </w:pPr>
            <w:r w:rsidRPr="007B011A">
              <w:rPr>
                <w:sz w:val="26"/>
                <w:szCs w:val="26"/>
                <w:lang w:val="en-US"/>
              </w:rPr>
              <w:t>An introduction to setting up and managing research budgets: basic financial principles, budget creation and management, financial reporting, cost-benefit analysis</w:t>
            </w:r>
          </w:p>
        </w:tc>
        <w:tc>
          <w:tcPr>
            <w:tcW w:w="853" w:type="pct"/>
          </w:tcPr>
          <w:p w14:paraId="434DA95E" w14:textId="4C39EECA" w:rsidR="00544761" w:rsidRPr="007B011A" w:rsidRDefault="00544761" w:rsidP="00544761">
            <w:pPr>
              <w:spacing w:after="120"/>
              <w:rPr>
                <w:sz w:val="26"/>
                <w:szCs w:val="26"/>
              </w:rPr>
            </w:pPr>
            <w:r w:rsidRPr="007B011A">
              <w:rPr>
                <w:sz w:val="26"/>
                <w:szCs w:val="26"/>
                <w:lang w:val="en-US"/>
              </w:rPr>
              <w:t>Joe Bingham</w:t>
            </w:r>
          </w:p>
        </w:tc>
      </w:tr>
      <w:tr w:rsidR="00544761" w:rsidRPr="007B011A" w14:paraId="47B1343C" w14:textId="77777777" w:rsidTr="00544761">
        <w:trPr>
          <w:cantSplit/>
          <w:trHeight w:val="1448"/>
        </w:trPr>
        <w:tc>
          <w:tcPr>
            <w:tcW w:w="772" w:type="pct"/>
          </w:tcPr>
          <w:p w14:paraId="0F9A083F" w14:textId="77777777" w:rsidR="00544761" w:rsidRPr="007B011A" w:rsidRDefault="00544761" w:rsidP="00544761">
            <w:pPr>
              <w:rPr>
                <w:sz w:val="26"/>
                <w:szCs w:val="26"/>
                <w:lang w:val="en-US"/>
              </w:rPr>
            </w:pPr>
            <w:r w:rsidRPr="007B011A">
              <w:rPr>
                <w:sz w:val="26"/>
                <w:szCs w:val="26"/>
                <w:lang w:val="en-US"/>
              </w:rPr>
              <w:t>21</w:t>
            </w:r>
            <w:r w:rsidRPr="007B011A">
              <w:rPr>
                <w:sz w:val="26"/>
                <w:szCs w:val="26"/>
                <w:vertAlign w:val="superscript"/>
                <w:lang w:val="en-US"/>
              </w:rPr>
              <w:t>st</w:t>
            </w:r>
            <w:r w:rsidRPr="007B011A">
              <w:rPr>
                <w:sz w:val="26"/>
                <w:szCs w:val="26"/>
                <w:lang w:val="en-US"/>
              </w:rPr>
              <w:t xml:space="preserve"> May 2025</w:t>
            </w:r>
          </w:p>
          <w:p w14:paraId="0C7784E5" w14:textId="233B0CD0" w:rsidR="00544761" w:rsidRPr="007B011A" w:rsidRDefault="00544761" w:rsidP="00544761">
            <w:pPr>
              <w:spacing w:after="120"/>
              <w:rPr>
                <w:sz w:val="26"/>
                <w:szCs w:val="26"/>
              </w:rPr>
            </w:pPr>
            <w:r w:rsidRPr="007B011A">
              <w:rPr>
                <w:sz w:val="26"/>
                <w:szCs w:val="26"/>
                <w:lang w:val="en-US"/>
              </w:rPr>
              <w:t>12-1.30pm</w:t>
            </w:r>
          </w:p>
        </w:tc>
        <w:tc>
          <w:tcPr>
            <w:tcW w:w="1284" w:type="pct"/>
          </w:tcPr>
          <w:p w14:paraId="6032046E" w14:textId="375B663D" w:rsidR="00544761" w:rsidRPr="007B011A" w:rsidRDefault="00544761" w:rsidP="00544761">
            <w:pPr>
              <w:spacing w:after="120"/>
              <w:rPr>
                <w:sz w:val="26"/>
                <w:szCs w:val="26"/>
              </w:rPr>
            </w:pPr>
            <w:r w:rsidRPr="007B011A">
              <w:rPr>
                <w:sz w:val="26"/>
                <w:szCs w:val="26"/>
                <w:lang w:val="en-US"/>
              </w:rPr>
              <w:t>Research project management</w:t>
            </w:r>
          </w:p>
        </w:tc>
        <w:tc>
          <w:tcPr>
            <w:tcW w:w="2091" w:type="pct"/>
          </w:tcPr>
          <w:p w14:paraId="79E0D57C" w14:textId="3F67DDD7" w:rsidR="00544761" w:rsidRPr="007B011A" w:rsidRDefault="00544761" w:rsidP="00544761">
            <w:pPr>
              <w:spacing w:after="120"/>
              <w:rPr>
                <w:sz w:val="26"/>
                <w:szCs w:val="26"/>
              </w:rPr>
            </w:pPr>
            <w:r w:rsidRPr="007B011A">
              <w:rPr>
                <w:sz w:val="26"/>
                <w:szCs w:val="26"/>
                <w:lang w:val="en-US"/>
              </w:rPr>
              <w:t>Introduction to research project management, including project planning and scheduling, risk, budget and time management, resource allocation</w:t>
            </w:r>
          </w:p>
        </w:tc>
        <w:tc>
          <w:tcPr>
            <w:tcW w:w="853" w:type="pct"/>
          </w:tcPr>
          <w:p w14:paraId="416AFAF8" w14:textId="01704E42" w:rsidR="00544761" w:rsidRPr="007B011A" w:rsidRDefault="00544761" w:rsidP="00544761">
            <w:pPr>
              <w:spacing w:after="120"/>
              <w:rPr>
                <w:sz w:val="26"/>
                <w:szCs w:val="26"/>
              </w:rPr>
            </w:pPr>
            <w:r w:rsidRPr="007B011A">
              <w:rPr>
                <w:sz w:val="26"/>
                <w:szCs w:val="26"/>
                <w:lang w:val="en-US"/>
              </w:rPr>
              <w:t>Prof Sam Wass</w:t>
            </w:r>
          </w:p>
        </w:tc>
      </w:tr>
      <w:tr w:rsidR="00544761" w:rsidRPr="007B011A" w14:paraId="13B34806" w14:textId="77777777" w:rsidTr="00544761">
        <w:trPr>
          <w:cantSplit/>
          <w:trHeight w:val="454"/>
        </w:trPr>
        <w:tc>
          <w:tcPr>
            <w:tcW w:w="772" w:type="pct"/>
          </w:tcPr>
          <w:p w14:paraId="4C76F193" w14:textId="77777777" w:rsidR="00544761" w:rsidRPr="007B011A" w:rsidRDefault="00544761" w:rsidP="00544761">
            <w:pPr>
              <w:rPr>
                <w:sz w:val="26"/>
                <w:szCs w:val="26"/>
                <w:lang w:val="en-US"/>
              </w:rPr>
            </w:pPr>
            <w:r w:rsidRPr="007B011A">
              <w:rPr>
                <w:sz w:val="26"/>
                <w:szCs w:val="26"/>
                <w:lang w:val="en-US"/>
              </w:rPr>
              <w:t>18</w:t>
            </w:r>
            <w:r w:rsidRPr="007B011A">
              <w:rPr>
                <w:sz w:val="26"/>
                <w:szCs w:val="26"/>
                <w:vertAlign w:val="superscript"/>
                <w:lang w:val="en-US"/>
              </w:rPr>
              <w:t>th</w:t>
            </w:r>
            <w:r w:rsidRPr="007B011A">
              <w:rPr>
                <w:sz w:val="26"/>
                <w:szCs w:val="26"/>
                <w:lang w:val="en-US"/>
              </w:rPr>
              <w:t xml:space="preserve"> June 2025</w:t>
            </w:r>
          </w:p>
          <w:p w14:paraId="55CD39B8" w14:textId="0A1E65B4" w:rsidR="00544761" w:rsidRPr="007B011A" w:rsidRDefault="00544761" w:rsidP="00544761">
            <w:pPr>
              <w:spacing w:after="120"/>
              <w:rPr>
                <w:b/>
                <w:bCs/>
                <w:sz w:val="26"/>
                <w:szCs w:val="26"/>
              </w:rPr>
            </w:pPr>
            <w:r w:rsidRPr="007B011A">
              <w:rPr>
                <w:sz w:val="26"/>
                <w:szCs w:val="26"/>
                <w:lang w:val="en-US"/>
              </w:rPr>
              <w:t>12-1.30pm</w:t>
            </w:r>
          </w:p>
        </w:tc>
        <w:tc>
          <w:tcPr>
            <w:tcW w:w="1284" w:type="pct"/>
          </w:tcPr>
          <w:p w14:paraId="3D2C256E" w14:textId="4B306C67" w:rsidR="00544761" w:rsidRPr="007B011A" w:rsidRDefault="00544761" w:rsidP="00544761">
            <w:pPr>
              <w:spacing w:after="120"/>
              <w:rPr>
                <w:sz w:val="26"/>
                <w:szCs w:val="26"/>
              </w:rPr>
            </w:pPr>
            <w:r w:rsidRPr="007B011A">
              <w:rPr>
                <w:sz w:val="26"/>
                <w:szCs w:val="26"/>
                <w:lang w:val="en-US"/>
              </w:rPr>
              <w:t>Building an ECR profile to become a mid-career researcher</w:t>
            </w:r>
          </w:p>
        </w:tc>
        <w:tc>
          <w:tcPr>
            <w:tcW w:w="2091" w:type="pct"/>
          </w:tcPr>
          <w:p w14:paraId="61A4C1C7" w14:textId="1BBB863C" w:rsidR="00544761" w:rsidRPr="007B011A" w:rsidRDefault="00544761" w:rsidP="00544761">
            <w:pPr>
              <w:spacing w:after="120"/>
              <w:rPr>
                <w:sz w:val="26"/>
                <w:szCs w:val="26"/>
              </w:rPr>
            </w:pPr>
            <w:r w:rsidRPr="007B011A">
              <w:rPr>
                <w:sz w:val="26"/>
                <w:szCs w:val="26"/>
                <w:lang w:val="en-US"/>
              </w:rPr>
              <w:t>How to build and ECR profile and the requirements and essential milestones of becoming a mid-career researcher/independent researcher</w:t>
            </w:r>
          </w:p>
        </w:tc>
        <w:tc>
          <w:tcPr>
            <w:tcW w:w="853" w:type="pct"/>
          </w:tcPr>
          <w:p w14:paraId="08AAE0D0" w14:textId="041964F9" w:rsidR="00544761" w:rsidRPr="007B011A" w:rsidRDefault="00544761" w:rsidP="00544761">
            <w:pPr>
              <w:spacing w:after="120"/>
              <w:rPr>
                <w:sz w:val="26"/>
                <w:szCs w:val="26"/>
              </w:rPr>
            </w:pPr>
            <w:r w:rsidRPr="007B011A">
              <w:rPr>
                <w:sz w:val="26"/>
                <w:szCs w:val="26"/>
                <w:lang w:val="en-US"/>
              </w:rPr>
              <w:t>Dr Karl Smith</w:t>
            </w:r>
          </w:p>
        </w:tc>
      </w:tr>
      <w:tr w:rsidR="00544761" w:rsidRPr="007B011A" w14:paraId="75326EB3" w14:textId="77777777" w:rsidTr="00544761">
        <w:trPr>
          <w:cantSplit/>
          <w:trHeight w:val="454"/>
        </w:trPr>
        <w:tc>
          <w:tcPr>
            <w:tcW w:w="772" w:type="pct"/>
          </w:tcPr>
          <w:p w14:paraId="5D434845" w14:textId="77777777" w:rsidR="00544761" w:rsidRPr="007B011A" w:rsidRDefault="00544761" w:rsidP="00544761">
            <w:pPr>
              <w:rPr>
                <w:sz w:val="26"/>
                <w:szCs w:val="26"/>
                <w:lang w:val="en-US"/>
              </w:rPr>
            </w:pPr>
            <w:r w:rsidRPr="007B011A">
              <w:rPr>
                <w:sz w:val="26"/>
                <w:szCs w:val="26"/>
                <w:lang w:val="en-US"/>
              </w:rPr>
              <w:t>16</w:t>
            </w:r>
            <w:r w:rsidRPr="007B011A">
              <w:rPr>
                <w:sz w:val="26"/>
                <w:szCs w:val="26"/>
                <w:vertAlign w:val="superscript"/>
                <w:lang w:val="en-US"/>
              </w:rPr>
              <w:t>th</w:t>
            </w:r>
            <w:r w:rsidRPr="007B011A">
              <w:rPr>
                <w:sz w:val="26"/>
                <w:szCs w:val="26"/>
                <w:lang w:val="en-US"/>
              </w:rPr>
              <w:t xml:space="preserve"> July 2025</w:t>
            </w:r>
          </w:p>
          <w:p w14:paraId="5FDEB956" w14:textId="79387886" w:rsidR="00544761" w:rsidRPr="007B011A" w:rsidRDefault="00544761" w:rsidP="00544761">
            <w:pPr>
              <w:spacing w:after="120"/>
              <w:rPr>
                <w:b/>
                <w:bCs/>
                <w:sz w:val="26"/>
                <w:szCs w:val="26"/>
              </w:rPr>
            </w:pPr>
            <w:r w:rsidRPr="007B011A">
              <w:rPr>
                <w:sz w:val="26"/>
                <w:szCs w:val="26"/>
                <w:lang w:val="en-US"/>
              </w:rPr>
              <w:t>12-1.30pm</w:t>
            </w:r>
          </w:p>
        </w:tc>
        <w:tc>
          <w:tcPr>
            <w:tcW w:w="1284" w:type="pct"/>
          </w:tcPr>
          <w:p w14:paraId="7E790A0E" w14:textId="06749762" w:rsidR="00544761" w:rsidRPr="007B011A" w:rsidRDefault="00544761" w:rsidP="00544761">
            <w:pPr>
              <w:spacing w:after="120"/>
              <w:rPr>
                <w:sz w:val="26"/>
                <w:szCs w:val="26"/>
              </w:rPr>
            </w:pPr>
            <w:r w:rsidRPr="007B011A">
              <w:rPr>
                <w:sz w:val="26"/>
                <w:szCs w:val="26"/>
                <w:lang w:val="en-US"/>
              </w:rPr>
              <w:t>Demystifying the researcher career progression pathway at UEL</w:t>
            </w:r>
          </w:p>
        </w:tc>
        <w:tc>
          <w:tcPr>
            <w:tcW w:w="2091" w:type="pct"/>
          </w:tcPr>
          <w:p w14:paraId="0483B7EC" w14:textId="41E030E4" w:rsidR="00544761" w:rsidRPr="007B011A" w:rsidRDefault="00544761" w:rsidP="00544761">
            <w:pPr>
              <w:spacing w:after="120"/>
              <w:rPr>
                <w:sz w:val="26"/>
                <w:szCs w:val="26"/>
              </w:rPr>
            </w:pPr>
            <w:r w:rsidRPr="007B011A">
              <w:rPr>
                <w:sz w:val="26"/>
                <w:szCs w:val="26"/>
                <w:lang w:val="en-US"/>
              </w:rPr>
              <w:t>Introduction to UEL promotion processes internally and examples of academic career trajectory</w:t>
            </w:r>
          </w:p>
        </w:tc>
        <w:tc>
          <w:tcPr>
            <w:tcW w:w="853" w:type="pct"/>
          </w:tcPr>
          <w:p w14:paraId="4C337D86" w14:textId="50C06DB3" w:rsidR="00544761" w:rsidRPr="007B011A" w:rsidRDefault="00544761" w:rsidP="00544761">
            <w:pPr>
              <w:spacing w:after="120"/>
              <w:rPr>
                <w:sz w:val="26"/>
                <w:szCs w:val="26"/>
              </w:rPr>
            </w:pPr>
            <w:r w:rsidRPr="007B011A">
              <w:rPr>
                <w:sz w:val="26"/>
                <w:szCs w:val="26"/>
                <w:lang w:val="en-US"/>
              </w:rPr>
              <w:t>TBC</w:t>
            </w:r>
          </w:p>
        </w:tc>
      </w:tr>
      <w:tr w:rsidR="00544761" w:rsidRPr="007B011A" w14:paraId="5F4AB210" w14:textId="77777777" w:rsidTr="00544761">
        <w:trPr>
          <w:cantSplit/>
          <w:trHeight w:val="454"/>
        </w:trPr>
        <w:tc>
          <w:tcPr>
            <w:tcW w:w="5000" w:type="pct"/>
            <w:gridSpan w:val="4"/>
          </w:tcPr>
          <w:p w14:paraId="07DA5DBC" w14:textId="47C5868E" w:rsidR="00544761" w:rsidRPr="007B011A" w:rsidRDefault="00544761" w:rsidP="00544761">
            <w:pPr>
              <w:spacing w:after="120"/>
            </w:pPr>
            <w:r w:rsidRPr="007B011A">
              <w:rPr>
                <w:lang w:val="en-US"/>
              </w:rPr>
              <w:t>Note: The schedule is provisional and liable to change</w:t>
            </w:r>
          </w:p>
        </w:tc>
      </w:tr>
    </w:tbl>
    <w:p w14:paraId="479CD666" w14:textId="3D2530F8" w:rsidR="00C20ACC" w:rsidRDefault="00C20ACC" w:rsidP="00C20ACC">
      <w:pPr>
        <w:pStyle w:val="BodyText"/>
        <w:ind w:right="490"/>
        <w:rPr>
          <w:bCs w:val="0"/>
          <w:color w:val="282626"/>
          <w:spacing w:val="1"/>
          <w:w w:val="80"/>
          <w:sz w:val="24"/>
        </w:rPr>
      </w:pPr>
    </w:p>
    <w:p w14:paraId="5676A8ED" w14:textId="4B0C275F" w:rsidR="00C20ACC" w:rsidRDefault="00C20ACC" w:rsidP="00C20ACC">
      <w:pPr>
        <w:pStyle w:val="BodyText"/>
        <w:ind w:right="490"/>
        <w:rPr>
          <w:bCs w:val="0"/>
          <w:color w:val="282626"/>
          <w:spacing w:val="1"/>
          <w:w w:val="80"/>
          <w:sz w:val="24"/>
        </w:rPr>
      </w:pPr>
    </w:p>
    <w:p w14:paraId="70CD5ADB" w14:textId="05A69C66" w:rsidR="00C20ACC" w:rsidRDefault="00C20ACC" w:rsidP="00A507AD">
      <w:pPr>
        <w:pStyle w:val="BodyText"/>
        <w:ind w:right="490"/>
        <w:rPr>
          <w:b w:val="0"/>
          <w:sz w:val="24"/>
        </w:rPr>
      </w:pPr>
      <w:r>
        <w:rPr>
          <w:bCs w:val="0"/>
          <w:color w:val="282626"/>
          <w:spacing w:val="1"/>
          <w:w w:val="80"/>
          <w:sz w:val="24"/>
        </w:rPr>
        <w:t xml:space="preserve">                                                                                                  </w:t>
      </w:r>
    </w:p>
    <w:sectPr w:rsidR="00C20ACC" w:rsidSect="00170077">
      <w:type w:val="continuous"/>
      <w:pgSz w:w="16820" w:h="2380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E7A4D"/>
    <w:multiLevelType w:val="hybridMultilevel"/>
    <w:tmpl w:val="8DB834E8"/>
    <w:lvl w:ilvl="0" w:tplc="C9C4EE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09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4F"/>
    <w:rsid w:val="000044C6"/>
    <w:rsid w:val="00024031"/>
    <w:rsid w:val="000309E5"/>
    <w:rsid w:val="00054563"/>
    <w:rsid w:val="00074476"/>
    <w:rsid w:val="000A00FB"/>
    <w:rsid w:val="000B47F2"/>
    <w:rsid w:val="00102617"/>
    <w:rsid w:val="001628C5"/>
    <w:rsid w:val="001637BF"/>
    <w:rsid w:val="00170077"/>
    <w:rsid w:val="001B1A4B"/>
    <w:rsid w:val="001B4652"/>
    <w:rsid w:val="001F2A51"/>
    <w:rsid w:val="00203866"/>
    <w:rsid w:val="00210376"/>
    <w:rsid w:val="002124C8"/>
    <w:rsid w:val="00216676"/>
    <w:rsid w:val="00230B97"/>
    <w:rsid w:val="00236A96"/>
    <w:rsid w:val="00246955"/>
    <w:rsid w:val="0025235A"/>
    <w:rsid w:val="002B30FF"/>
    <w:rsid w:val="002C1FF7"/>
    <w:rsid w:val="002E7596"/>
    <w:rsid w:val="0030229C"/>
    <w:rsid w:val="00316A05"/>
    <w:rsid w:val="00335F49"/>
    <w:rsid w:val="00346D2B"/>
    <w:rsid w:val="00377DA8"/>
    <w:rsid w:val="00380AEB"/>
    <w:rsid w:val="003B3D24"/>
    <w:rsid w:val="003B53DB"/>
    <w:rsid w:val="003C6EA9"/>
    <w:rsid w:val="003E3955"/>
    <w:rsid w:val="003E45C0"/>
    <w:rsid w:val="003F3915"/>
    <w:rsid w:val="00432C4F"/>
    <w:rsid w:val="00432D94"/>
    <w:rsid w:val="004650D8"/>
    <w:rsid w:val="00470EF4"/>
    <w:rsid w:val="004901D5"/>
    <w:rsid w:val="004D7774"/>
    <w:rsid w:val="004F6E0C"/>
    <w:rsid w:val="00526076"/>
    <w:rsid w:val="00544761"/>
    <w:rsid w:val="00545C54"/>
    <w:rsid w:val="0054603C"/>
    <w:rsid w:val="00572941"/>
    <w:rsid w:val="0059586F"/>
    <w:rsid w:val="00596795"/>
    <w:rsid w:val="005A6A0B"/>
    <w:rsid w:val="005B63C5"/>
    <w:rsid w:val="005D4F28"/>
    <w:rsid w:val="005E10E1"/>
    <w:rsid w:val="006037FB"/>
    <w:rsid w:val="00615C09"/>
    <w:rsid w:val="006351E0"/>
    <w:rsid w:val="006400CB"/>
    <w:rsid w:val="00657C2D"/>
    <w:rsid w:val="00672ACA"/>
    <w:rsid w:val="0067586C"/>
    <w:rsid w:val="006A6873"/>
    <w:rsid w:val="006C0C8F"/>
    <w:rsid w:val="006D46BB"/>
    <w:rsid w:val="006F5CFB"/>
    <w:rsid w:val="00775102"/>
    <w:rsid w:val="00794306"/>
    <w:rsid w:val="007B011A"/>
    <w:rsid w:val="007B5809"/>
    <w:rsid w:val="007C57E6"/>
    <w:rsid w:val="00835F03"/>
    <w:rsid w:val="00837B77"/>
    <w:rsid w:val="008400CD"/>
    <w:rsid w:val="00860337"/>
    <w:rsid w:val="00867846"/>
    <w:rsid w:val="008910EE"/>
    <w:rsid w:val="008A5102"/>
    <w:rsid w:val="008B0755"/>
    <w:rsid w:val="008C5E67"/>
    <w:rsid w:val="008D6E03"/>
    <w:rsid w:val="008E794F"/>
    <w:rsid w:val="009522E8"/>
    <w:rsid w:val="00976BFA"/>
    <w:rsid w:val="00994DE0"/>
    <w:rsid w:val="009C0C35"/>
    <w:rsid w:val="009C2B10"/>
    <w:rsid w:val="009D032A"/>
    <w:rsid w:val="009E6926"/>
    <w:rsid w:val="00A22727"/>
    <w:rsid w:val="00A507AD"/>
    <w:rsid w:val="00A53994"/>
    <w:rsid w:val="00A55E24"/>
    <w:rsid w:val="00AA26EC"/>
    <w:rsid w:val="00AD276B"/>
    <w:rsid w:val="00AE33E7"/>
    <w:rsid w:val="00AE6200"/>
    <w:rsid w:val="00B0712B"/>
    <w:rsid w:val="00B07BEE"/>
    <w:rsid w:val="00B1166B"/>
    <w:rsid w:val="00B26C1E"/>
    <w:rsid w:val="00B33809"/>
    <w:rsid w:val="00B72873"/>
    <w:rsid w:val="00B916CE"/>
    <w:rsid w:val="00BA4A12"/>
    <w:rsid w:val="00BC4EF5"/>
    <w:rsid w:val="00BE0B60"/>
    <w:rsid w:val="00C04EB7"/>
    <w:rsid w:val="00C20ACC"/>
    <w:rsid w:val="00C31557"/>
    <w:rsid w:val="00CB58EA"/>
    <w:rsid w:val="00CB7550"/>
    <w:rsid w:val="00CC0F0B"/>
    <w:rsid w:val="00CD25D2"/>
    <w:rsid w:val="00CE15EE"/>
    <w:rsid w:val="00CF7B86"/>
    <w:rsid w:val="00D0723D"/>
    <w:rsid w:val="00D25DCB"/>
    <w:rsid w:val="00D2728C"/>
    <w:rsid w:val="00D328E8"/>
    <w:rsid w:val="00D441B2"/>
    <w:rsid w:val="00DA7A17"/>
    <w:rsid w:val="00DA7F84"/>
    <w:rsid w:val="00DB12E1"/>
    <w:rsid w:val="00DC4061"/>
    <w:rsid w:val="00DD5E53"/>
    <w:rsid w:val="00DD7DE6"/>
    <w:rsid w:val="00DF2224"/>
    <w:rsid w:val="00E11654"/>
    <w:rsid w:val="00E17846"/>
    <w:rsid w:val="00E3262D"/>
    <w:rsid w:val="00E47178"/>
    <w:rsid w:val="00E5614C"/>
    <w:rsid w:val="00E629FF"/>
    <w:rsid w:val="00E836D9"/>
    <w:rsid w:val="00EA7047"/>
    <w:rsid w:val="00EC0840"/>
    <w:rsid w:val="00F03F3B"/>
    <w:rsid w:val="00F36D32"/>
    <w:rsid w:val="00F67DA3"/>
    <w:rsid w:val="00F70481"/>
    <w:rsid w:val="00F70DFC"/>
    <w:rsid w:val="00F81BA7"/>
    <w:rsid w:val="00F94E83"/>
    <w:rsid w:val="00FA0A0C"/>
    <w:rsid w:val="00FE45C3"/>
    <w:rsid w:val="00FF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B122"/>
  <w15:docId w15:val="{3EC1035D-2EF4-D243-BEC0-CC80226B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5"/>
      <w:szCs w:val="35"/>
    </w:rPr>
  </w:style>
  <w:style w:type="paragraph" w:styleId="Title">
    <w:name w:val="Title"/>
    <w:basedOn w:val="Normal"/>
    <w:uiPriority w:val="10"/>
    <w:qFormat/>
    <w:pPr>
      <w:spacing w:line="820" w:lineRule="exact"/>
      <w:ind w:left="1807" w:right="1061"/>
      <w:jc w:val="center"/>
    </w:pPr>
    <w:rPr>
      <w:b/>
      <w:bC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35F03"/>
    <w:pPr>
      <w:widowControl/>
      <w:autoSpaceDE/>
      <w:autoSpaceDN/>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86F"/>
    <w:rPr>
      <w:color w:val="0000FF" w:themeColor="hyperlink"/>
      <w:u w:val="single"/>
    </w:rPr>
  </w:style>
  <w:style w:type="character" w:styleId="UnresolvedMention">
    <w:name w:val="Unresolved Mention"/>
    <w:basedOn w:val="DefaultParagraphFont"/>
    <w:uiPriority w:val="99"/>
    <w:semiHidden/>
    <w:unhideWhenUsed/>
    <w:rsid w:val="0059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Internal Offer Evaluation Unit Internal Student Researchers</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Offer Evaluation Unit Internal Student Researchers</dc:title>
  <dc:creator>Social Comms</dc:creator>
  <cp:keywords>DAFMNod4JNc,BAEt2ATmNrk</cp:keywords>
  <cp:lastModifiedBy>Nora Morocza</cp:lastModifiedBy>
  <cp:revision>9</cp:revision>
  <dcterms:created xsi:type="dcterms:W3CDTF">2024-09-13T12:55:00Z</dcterms:created>
  <dcterms:modified xsi:type="dcterms:W3CDTF">2024-10-09T10:52:00Z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Canva</vt:lpwstr>
  </property>
  <property fmtid="{D5CDD505-2E9C-101B-9397-08002B2CF9AE}" pid="4" name="LastSaved">
    <vt:filetime>2022-09-14T00:00:00Z</vt:filetime>
  </property>
</Properties>
</file>